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2B8" w:rsidRDefault="008E32B8" w:rsidP="00C3350B">
      <w:pPr>
        <w:spacing w:after="0"/>
      </w:pPr>
      <w:r>
        <w:t>Student’s Name</w:t>
      </w:r>
    </w:p>
    <w:p w:rsidR="008E32B8" w:rsidRDefault="008E32B8" w:rsidP="00C3350B">
      <w:pPr>
        <w:spacing w:after="0"/>
      </w:pPr>
      <w:r>
        <w:t>Professor’s Name</w:t>
      </w:r>
    </w:p>
    <w:p w:rsidR="008E32B8" w:rsidRDefault="008E32B8" w:rsidP="00C3350B">
      <w:pPr>
        <w:spacing w:after="0"/>
      </w:pPr>
      <w:r>
        <w:t>Class</w:t>
      </w:r>
    </w:p>
    <w:p w:rsidR="008E32B8" w:rsidRDefault="008E32B8" w:rsidP="00C3350B">
      <w:pPr>
        <w:spacing w:after="0"/>
      </w:pPr>
      <w:r>
        <w:t>Date</w:t>
      </w:r>
    </w:p>
    <w:p w:rsidR="00C3350B" w:rsidRDefault="00C3350B" w:rsidP="00C3350B">
      <w:pPr>
        <w:spacing w:after="0"/>
        <w:jc w:val="center"/>
      </w:pPr>
      <w:r>
        <w:t xml:space="preserve">A Doll’s House </w:t>
      </w:r>
      <w:bookmarkStart w:id="0" w:name="_GoBack"/>
      <w:bookmarkEnd w:id="0"/>
    </w:p>
    <w:p w:rsidR="009146B1" w:rsidRDefault="009146B1" w:rsidP="00C3350B">
      <w:pPr>
        <w:spacing w:after="0"/>
        <w:ind w:firstLine="720"/>
        <w:jc w:val="both"/>
      </w:pPr>
      <w:r>
        <w:t xml:space="preserve">Henrik Ibsen employs the use of motifs consistently to convey and emphasize a myriad of themes within the play, ‘A Doll's House.' Motifs in this setting refer to the repeated use of any element and structures with critical significance in the plot of the story (Gary, 2017). One such motif is Naro's definition of freedom. The character's honest depiction of freedom is a gradual developing concept from the onset to the outcome. Her character is first introduced holding high regard for money in freeing her from her woes. She is jubilant at the prospect of her husband's promotion. She even appeals for a change in the lifestyles by saying, "Now I will tell you how I have thought we ought to arrange things, Torvald. " The value she places on freedom in the scenario that she eventually repays her loan is significant. Nora views this debt as a cage that has forced her to save spending on herself so she can gradually repay her debt secretly. The character sees the moment after clearing her debt will give her the freedom to spend more on herself and the household. Krogstad introduces a new concept of liberty after he threatens her.  Nora now values freedom differently. It is imperative to regain independence from Krogstad's threats as she results from pleading his case to her husband. After Helmer discovers Nora's secret, Nora's perception of freedom is leaving. She comes to the understanding of her diminished role in the family and how people perceive her inclusive of Helmer. Nora results to pursue her ambitions in light of this knowledge and to relinquish all familial obligations. </w:t>
      </w:r>
    </w:p>
    <w:p w:rsidR="009146B1" w:rsidRDefault="009146B1" w:rsidP="00C3350B">
      <w:pPr>
        <w:spacing w:after="0"/>
        <w:ind w:firstLine="720"/>
        <w:jc w:val="both"/>
      </w:pPr>
      <w:r>
        <w:lastRenderedPageBreak/>
        <w:t xml:space="preserve">Money is a deliverer in the play, but it is used symbolically to represent its inability to buy happiness. Despite her anguish, Nora tells Mrs. Linde, "It will be splendid to have heaps of money and not to have any anxiety, won't it?" Nora places a lot of significance in money despite that deep inside she feels unrecognized and unappreciated. Her character is just playing a role, and she assumes that the promotion and the money to come will overcome these feelings and bring her happiness. However, as the play ends and Nora's husband is about to begin his job, Nora leaves in pursuit of her happiness, not content to playing a role anymore. </w:t>
      </w:r>
    </w:p>
    <w:p w:rsidR="009146B1" w:rsidRDefault="009146B1" w:rsidP="00C3350B">
      <w:pPr>
        <w:spacing w:after="0"/>
        <w:ind w:firstLine="720"/>
        <w:jc w:val="both"/>
      </w:pPr>
      <w:r>
        <w:t xml:space="preserve">The law in the scenario of Krogstad and Nora is unfair since it does not consider preceding circumstances. Both characters perpetrated acts of forgery in an attempt to save the life of their loved ones. In the case of Nora, as a wife, her options were limited, and with her father ill too, she sought not to burden him with further bad news, and so she forged his signature. Krogstad, as precedence, lost his reputation and everyone considers him to lack morals. </w:t>
      </w:r>
    </w:p>
    <w:p w:rsidR="009146B1" w:rsidRDefault="009146B1" w:rsidP="00C3350B">
      <w:pPr>
        <w:spacing w:after="0"/>
        <w:ind w:firstLine="720"/>
        <w:jc w:val="both"/>
      </w:pPr>
      <w:r>
        <w:t>The play continually describes pride as a vice. The vanity of Mr. Helmer sets him aside from his relationships</w:t>
      </w:r>
      <w:r w:rsidR="008E32B8">
        <w:t xml:space="preserve"> </w:t>
      </w:r>
      <w:sdt>
        <w:sdtPr>
          <w:id w:val="140702019"/>
          <w:citation/>
        </w:sdtPr>
        <w:sdtEndPr/>
        <w:sdtContent>
          <w:r w:rsidR="008E32B8">
            <w:fldChar w:fldCharType="begin"/>
          </w:r>
          <w:r w:rsidR="008E32B8">
            <w:instrText xml:space="preserve"> CITATION Ank15 \l 1033 </w:instrText>
          </w:r>
          <w:r w:rsidR="008E32B8">
            <w:fldChar w:fldCharType="separate"/>
          </w:r>
          <w:r w:rsidR="008E32B8">
            <w:rPr>
              <w:noProof/>
            </w:rPr>
            <w:t>(Anku)</w:t>
          </w:r>
          <w:r w:rsidR="008E32B8">
            <w:fldChar w:fldCharType="end"/>
          </w:r>
        </w:sdtContent>
      </w:sdt>
      <w:r>
        <w:t xml:space="preserve">. Torvald is too pride to a point where his best friend does not tell him about his illness. The only means of communication Dr. Rank finds appropriate to convey such information is through a letter. The doctor also says, "Helmer's refined nature gives him an unconquerable disgust for everything ugly; I won't have him in my sick room." This insinuates that the doctor knows the kind of friendship between him and his pride limits Torvald and so he does not impose on Torvald's values. Helmer also demonstrates pride when he scolds Nora after learning about her secret without regarding the exigent circumstances. In this scenario, Helmer only cares for deception when it affects his reputation and life. He is apologetic after receiving a second letter that clears his wife, but the damage has already been done, and Nora seeks to leave. </w:t>
      </w:r>
      <w:r>
        <w:lastRenderedPageBreak/>
        <w:t xml:space="preserve">Helmer does not place any value on the deception and says, "The whole thing shall be nothing but a bad dream to me." After his harsh statement when he was infuriated about likely damage to his reputation, Tarvold assumes that they both can pretend that it never happened. </w:t>
      </w:r>
    </w:p>
    <w:p w:rsidR="009146B1" w:rsidRDefault="009146B1" w:rsidP="00C3350B">
      <w:pPr>
        <w:spacing w:after="0"/>
        <w:ind w:firstLine="720"/>
        <w:jc w:val="both"/>
      </w:pPr>
      <w:r>
        <w:t xml:space="preserve">The play demonstrates the demarcation and differences in living and being alive. The fact that one is active does not necessarily mean they are living. Takes Nora's case, her life is marred by deceit and pretentious notions. She does not discover who she is. Such is not the case for her long lost friend Mrs. Linde, whose life is not dictated by anyone but herself. Nora says, " I have been your doll-wife, just as at home I was papa's doll-child; and here the children have been my dolls." Nora's statement echoes that these characters are playing other roles that are not their own within the play. </w:t>
      </w:r>
    </w:p>
    <w:p w:rsidR="009146B1" w:rsidRDefault="009146B1" w:rsidP="00C3350B">
      <w:pPr>
        <w:spacing w:after="0"/>
        <w:ind w:firstLine="720"/>
        <w:jc w:val="both"/>
      </w:pPr>
      <w:r>
        <w:t>Illnesses in the play symbolize an immense source of fulfillment, as is the case for Mrs. Linda devout to take care of her mother</w:t>
      </w:r>
      <w:r w:rsidR="00095975">
        <w:t xml:space="preserve"> </w:t>
      </w:r>
      <w:sdt>
        <w:sdtPr>
          <w:id w:val="-1805535462"/>
          <w:citation/>
        </w:sdtPr>
        <w:sdtEndPr/>
        <w:sdtContent>
          <w:r w:rsidR="00095975">
            <w:fldChar w:fldCharType="begin"/>
          </w:r>
          <w:r w:rsidR="00095975">
            <w:instrText xml:space="preserve"> CITATION Win15 \l 1033 </w:instrText>
          </w:r>
          <w:r w:rsidR="00095975">
            <w:fldChar w:fldCharType="separate"/>
          </w:r>
          <w:r w:rsidR="00095975">
            <w:rPr>
              <w:noProof/>
            </w:rPr>
            <w:t>(Wing-bo and Lee)</w:t>
          </w:r>
          <w:r w:rsidR="00095975">
            <w:fldChar w:fldCharType="end"/>
          </w:r>
        </w:sdtContent>
      </w:sdt>
      <w:r>
        <w:t>. Given that Nor did not do the same for her father, Mrs. Linde loos down upon her and says, "For you know so little of the burdens and troubles of life," Dr. Rank presents illnesses as a circumstance of one's feeling. If one dreads illnesses, then one is bound to get sick. The doctor explains that since he is terminally ill, he is more worried about dying than living, and as a result, he is sick. After Nora enquires of what is wrong with him, he says, "Nothing but what I have been long preparing. But I certainly didn't expect it to happen so soon."</w:t>
      </w:r>
    </w:p>
    <w:p w:rsidR="009146B1" w:rsidRDefault="009146B1" w:rsidP="00C3350B">
      <w:pPr>
        <w:spacing w:after="0"/>
        <w:ind w:firstLine="720"/>
        <w:jc w:val="both"/>
      </w:pPr>
      <w:r>
        <w:t>The play highlights the differences in the relationships between men and women in a spark not</w:t>
      </w:r>
      <w:r w:rsidR="00095975">
        <w:t xml:space="preserve">e </w:t>
      </w:r>
      <w:sdt>
        <w:sdtPr>
          <w:id w:val="871891931"/>
          <w:citation/>
        </w:sdtPr>
        <w:sdtEndPr/>
        <w:sdtContent>
          <w:r w:rsidR="00095975">
            <w:fldChar w:fldCharType="begin"/>
          </w:r>
          <w:r w:rsidR="00095975">
            <w:instrText xml:space="preserve"> CITATION Kar15 \l 1033 </w:instrText>
          </w:r>
          <w:r w:rsidR="00095975">
            <w:fldChar w:fldCharType="separate"/>
          </w:r>
          <w:r w:rsidR="00095975">
            <w:rPr>
              <w:noProof/>
            </w:rPr>
            <w:t>(Karim, Fathema and Hakim)</w:t>
          </w:r>
          <w:r w:rsidR="00095975">
            <w:fldChar w:fldCharType="end"/>
          </w:r>
        </w:sdtContent>
      </w:sdt>
      <w:r>
        <w:t xml:space="preserve">. Kristin Linde devoted her time to fend for her two brothers and her sick mother who passed. However, now that her brothers can hold their ground, they are less concerned with her life not like she was worried about them. The role of women in this play is to fend for and care for others always overlooking their own needs. Kristine Linde </w:t>
      </w:r>
      <w:r>
        <w:lastRenderedPageBreak/>
        <w:t xml:space="preserve">also explains that the most logical decision at the time of her marriage was to a wealthy man because of the wails of her family. Love was not a contributing factor. When Nora decides to eave Torvald, she says, "It is because of you that I've made nothing of my life." This is to illustrate that Nora has spent her life overlooking her needs in favor of her role in the familial setup. Anne-Marie, the nanny of the three Helmer children, is also a victim of sacrificing something important for economic necessity. She had to leave behind her daughter to take the nursing job that Nora's father offered. </w:t>
      </w:r>
    </w:p>
    <w:p w:rsidR="008E32B8" w:rsidRDefault="009146B1" w:rsidP="00C3350B">
      <w:pPr>
        <w:spacing w:after="0"/>
        <w:ind w:firstLine="720"/>
        <w:jc w:val="both"/>
      </w:pPr>
      <w:r>
        <w:t>Henrik Ibsen places lots of significance in letters. Dr. Rank means of conveying his illness, and imminent death is to send Torvald a letter marked with a black cross. The doctor perceives his friend as one whose pride and prejudice prevent him from facing any possibility of marred with ugliness. By sending him a letter, he wishes to attempt to keep his friend unmarred by the ugly-truth of his condition. Krogstad writes two letters to Torvald, one to explain Nora's forgery crime and the other is the contract with Nora's signature to relinquish the power of blackmail. Upon receiving the first letter, Torvald is harsh to his wife and scolds her. This serves to awaken Nora on her mistreatment, the true nature of their marriage, and her desire to be more than she is in this setup. The second letter calms Torvald, where he opts to forget the entire incident, but Nora has her mind made up, and she pursues her happiness beyond the selfishness of her husband. Torvald also scripts a letter of dismissal to Krogstad to refrain firing him on his face because of his pride.</w:t>
      </w:r>
    </w:p>
    <w:p w:rsidR="008E32B8" w:rsidRDefault="008E32B8" w:rsidP="00C3350B">
      <w:pPr>
        <w:spacing w:after="0"/>
      </w:pPr>
      <w:r>
        <w:br w:type="page"/>
      </w:r>
    </w:p>
    <w:sdt>
      <w:sdtPr>
        <w:rPr>
          <w:rFonts w:ascii="Times New Roman" w:eastAsiaTheme="minorHAnsi" w:hAnsi="Times New Roman" w:cstheme="minorBidi"/>
          <w:b w:val="0"/>
          <w:bCs w:val="0"/>
          <w:color w:val="auto"/>
          <w:sz w:val="24"/>
          <w:szCs w:val="22"/>
          <w:lang w:eastAsia="en-US"/>
        </w:rPr>
        <w:id w:val="1014499960"/>
        <w:docPartObj>
          <w:docPartGallery w:val="Bibliographies"/>
          <w:docPartUnique/>
        </w:docPartObj>
      </w:sdtPr>
      <w:sdtEndPr/>
      <w:sdtContent>
        <w:p w:rsidR="008E32B8" w:rsidRPr="008E32B8" w:rsidRDefault="008E32B8" w:rsidP="00C3350B">
          <w:pPr>
            <w:pStyle w:val="Heading1"/>
            <w:spacing w:before="0" w:line="480" w:lineRule="auto"/>
            <w:jc w:val="center"/>
            <w:rPr>
              <w:rFonts w:ascii="Times New Roman" w:hAnsi="Times New Roman" w:cs="Times New Roman"/>
              <w:color w:val="auto"/>
              <w:sz w:val="24"/>
            </w:rPr>
          </w:pPr>
          <w:r w:rsidRPr="008E32B8">
            <w:rPr>
              <w:rFonts w:ascii="Times New Roman" w:hAnsi="Times New Roman" w:cs="Times New Roman"/>
              <w:color w:val="auto"/>
              <w:sz w:val="24"/>
            </w:rPr>
            <w:t>Works Cited</w:t>
          </w:r>
        </w:p>
        <w:p w:rsidR="008E32B8" w:rsidRDefault="008E32B8" w:rsidP="00C3350B">
          <w:pPr>
            <w:pStyle w:val="Bibliography"/>
            <w:spacing w:after="0"/>
            <w:ind w:left="720" w:hanging="720"/>
            <w:rPr>
              <w:noProof/>
            </w:rPr>
          </w:pPr>
          <w:r>
            <w:fldChar w:fldCharType="begin"/>
          </w:r>
          <w:r>
            <w:instrText xml:space="preserve"> BIBLIOGRAPHY </w:instrText>
          </w:r>
          <w:r>
            <w:fldChar w:fldCharType="separate"/>
          </w:r>
          <w:r>
            <w:rPr>
              <w:noProof/>
            </w:rPr>
            <w:t xml:space="preserve">Anku, Solace Sekafor. ""Beyond the slammed door."." </w:t>
          </w:r>
          <w:r>
            <w:rPr>
              <w:i/>
              <w:iCs/>
              <w:noProof/>
            </w:rPr>
            <w:t>Nordlit</w:t>
          </w:r>
          <w:r>
            <w:rPr>
              <w:noProof/>
            </w:rPr>
            <w:t xml:space="preserve"> 34 (2015): 245-251.</w:t>
          </w:r>
        </w:p>
        <w:p w:rsidR="008E32B8" w:rsidRDefault="008E32B8" w:rsidP="00C3350B">
          <w:pPr>
            <w:pStyle w:val="Bibliography"/>
            <w:spacing w:after="0"/>
            <w:ind w:left="720" w:hanging="720"/>
            <w:rPr>
              <w:noProof/>
            </w:rPr>
          </w:pPr>
          <w:r>
            <w:rPr>
              <w:noProof/>
            </w:rPr>
            <w:t xml:space="preserve">Gary, Jane. </w:t>
          </w:r>
          <w:r>
            <w:rPr>
              <w:i/>
              <w:iCs/>
              <w:noProof/>
            </w:rPr>
            <w:t xml:space="preserve">Archetypes and Motifs in Folklore and Literature: A Handbook: A Handbook. </w:t>
          </w:r>
          <w:r>
            <w:rPr>
              <w:noProof/>
            </w:rPr>
            <w:t>. Routledge, 2017.</w:t>
          </w:r>
        </w:p>
        <w:p w:rsidR="008E32B8" w:rsidRDefault="008E32B8" w:rsidP="00C3350B">
          <w:pPr>
            <w:pStyle w:val="Bibliography"/>
            <w:spacing w:after="0"/>
            <w:ind w:left="720" w:hanging="720"/>
            <w:rPr>
              <w:noProof/>
            </w:rPr>
          </w:pPr>
          <w:r>
            <w:rPr>
              <w:noProof/>
            </w:rPr>
            <w:t xml:space="preserve">Hossain, Amir and Arburim Iseni. "Symbolic Realism in Ibsen’s A Doll’s House:." </w:t>
          </w:r>
          <w:r>
            <w:rPr>
              <w:i/>
              <w:iCs/>
              <w:noProof/>
            </w:rPr>
            <w:t>An Overview. ANGLISTICUM. Journal of the Association-Institute for English Language and American Studies</w:t>
          </w:r>
          <w:r>
            <w:rPr>
              <w:noProof/>
            </w:rPr>
            <w:t xml:space="preserve"> 3.8 (2015): 8-17.</w:t>
          </w:r>
        </w:p>
        <w:p w:rsidR="008E32B8" w:rsidRDefault="008E32B8" w:rsidP="00C3350B">
          <w:pPr>
            <w:pStyle w:val="Bibliography"/>
            <w:spacing w:after="0"/>
            <w:ind w:left="720" w:hanging="720"/>
            <w:rPr>
              <w:noProof/>
            </w:rPr>
          </w:pPr>
          <w:r>
            <w:rPr>
              <w:noProof/>
            </w:rPr>
            <w:t xml:space="preserve">Karim, Shah Mohammad Sanaul, Fawzia Fathema and Abdul Hakim. "Man-Woman Relationship in Henrik Ibsen 'A Doll's House'." </w:t>
          </w:r>
          <w:r>
            <w:rPr>
              <w:i/>
              <w:iCs/>
              <w:noProof/>
            </w:rPr>
            <w:t>International Journal of Social Sciences, Arts and Humanities</w:t>
          </w:r>
          <w:r>
            <w:rPr>
              <w:noProof/>
            </w:rPr>
            <w:t xml:space="preserve"> (2015). PDF.</w:t>
          </w:r>
        </w:p>
        <w:p w:rsidR="008E32B8" w:rsidRDefault="008E32B8" w:rsidP="00C3350B">
          <w:pPr>
            <w:pStyle w:val="Bibliography"/>
            <w:spacing w:after="0"/>
            <w:ind w:left="720" w:hanging="720"/>
            <w:rPr>
              <w:noProof/>
            </w:rPr>
          </w:pPr>
          <w:r>
            <w:rPr>
              <w:noProof/>
            </w:rPr>
            <w:t xml:space="preserve">Wing-bo, Anna Tso and Scarlet Lee. "Critical discourse analysis and translation: a comparative study of discourse and ideology in translated versions of Ibsen's A doll's house." </w:t>
          </w:r>
          <w:r>
            <w:rPr>
              <w:i/>
              <w:iCs/>
              <w:noProof/>
            </w:rPr>
            <w:t>Nordlit</w:t>
          </w:r>
          <w:r>
            <w:rPr>
              <w:noProof/>
            </w:rPr>
            <w:t xml:space="preserve"> 34 (2015): 505-517.</w:t>
          </w:r>
        </w:p>
        <w:p w:rsidR="008E32B8" w:rsidRDefault="008E32B8" w:rsidP="00C3350B">
          <w:pPr>
            <w:spacing w:after="0"/>
          </w:pPr>
          <w:r>
            <w:rPr>
              <w:b/>
              <w:bCs/>
            </w:rPr>
            <w:fldChar w:fldCharType="end"/>
          </w:r>
        </w:p>
      </w:sdtContent>
    </w:sdt>
    <w:p w:rsidR="00176076" w:rsidRPr="009146B1" w:rsidRDefault="00176076" w:rsidP="00C3350B">
      <w:pPr>
        <w:spacing w:after="0"/>
        <w:ind w:firstLine="720"/>
      </w:pPr>
    </w:p>
    <w:sectPr w:rsidR="00176076" w:rsidRPr="009146B1" w:rsidSect="008E32B8">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DCD" w:rsidRDefault="00746DCD" w:rsidP="008E32B8">
      <w:pPr>
        <w:spacing w:after="0" w:line="240" w:lineRule="auto"/>
      </w:pPr>
      <w:r>
        <w:separator/>
      </w:r>
    </w:p>
  </w:endnote>
  <w:endnote w:type="continuationSeparator" w:id="0">
    <w:p w:rsidR="00746DCD" w:rsidRDefault="00746DCD" w:rsidP="008E3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DCD" w:rsidRDefault="00746DCD" w:rsidP="008E32B8">
      <w:pPr>
        <w:spacing w:after="0" w:line="240" w:lineRule="auto"/>
      </w:pPr>
      <w:r>
        <w:separator/>
      </w:r>
    </w:p>
  </w:footnote>
  <w:footnote w:type="continuationSeparator" w:id="0">
    <w:p w:rsidR="00746DCD" w:rsidRDefault="00746DCD" w:rsidP="008E3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2B8" w:rsidRDefault="008E32B8">
    <w:pPr>
      <w:pStyle w:val="Header"/>
      <w:jc w:val="right"/>
    </w:pPr>
    <w:r>
      <w:t xml:space="preserve">Surname </w:t>
    </w:r>
    <w:sdt>
      <w:sdtPr>
        <w:id w:val="-1490097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0884">
          <w:rPr>
            <w:noProof/>
          </w:rPr>
          <w:t>1</w:t>
        </w:r>
        <w:r>
          <w:rPr>
            <w:noProof/>
          </w:rPr>
          <w:fldChar w:fldCharType="end"/>
        </w:r>
      </w:sdtContent>
    </w:sdt>
  </w:p>
  <w:p w:rsidR="008E32B8" w:rsidRDefault="008E32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2A1"/>
    <w:rsid w:val="00095975"/>
    <w:rsid w:val="0015373D"/>
    <w:rsid w:val="00176076"/>
    <w:rsid w:val="003672A1"/>
    <w:rsid w:val="003E0150"/>
    <w:rsid w:val="00513C96"/>
    <w:rsid w:val="006E6D27"/>
    <w:rsid w:val="00746DCD"/>
    <w:rsid w:val="008560F6"/>
    <w:rsid w:val="008D54B3"/>
    <w:rsid w:val="008E32B8"/>
    <w:rsid w:val="009146B1"/>
    <w:rsid w:val="009245F0"/>
    <w:rsid w:val="009B4177"/>
    <w:rsid w:val="009E44BA"/>
    <w:rsid w:val="00AB0BA5"/>
    <w:rsid w:val="00B50D2A"/>
    <w:rsid w:val="00B641AC"/>
    <w:rsid w:val="00BF6C59"/>
    <w:rsid w:val="00C3350B"/>
    <w:rsid w:val="00CD0884"/>
    <w:rsid w:val="00DF1782"/>
    <w:rsid w:val="00F13668"/>
    <w:rsid w:val="00F13A14"/>
    <w:rsid w:val="00FE5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6014"/>
  <w15:docId w15:val="{086C3F84-87F1-4159-929A-107E7E5B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2B8"/>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44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4BA"/>
    <w:rPr>
      <w:rFonts w:ascii="Tahoma" w:hAnsi="Tahoma" w:cs="Tahoma"/>
      <w:sz w:val="16"/>
      <w:szCs w:val="16"/>
    </w:rPr>
  </w:style>
  <w:style w:type="paragraph" w:styleId="Header">
    <w:name w:val="header"/>
    <w:basedOn w:val="Normal"/>
    <w:link w:val="HeaderChar"/>
    <w:uiPriority w:val="99"/>
    <w:unhideWhenUsed/>
    <w:rsid w:val="008E3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2B8"/>
  </w:style>
  <w:style w:type="paragraph" w:styleId="Footer">
    <w:name w:val="footer"/>
    <w:basedOn w:val="Normal"/>
    <w:link w:val="FooterChar"/>
    <w:uiPriority w:val="99"/>
    <w:unhideWhenUsed/>
    <w:rsid w:val="008E3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2B8"/>
  </w:style>
  <w:style w:type="character" w:customStyle="1" w:styleId="Heading1Char">
    <w:name w:val="Heading 1 Char"/>
    <w:basedOn w:val="DefaultParagraphFont"/>
    <w:link w:val="Heading1"/>
    <w:uiPriority w:val="9"/>
    <w:rsid w:val="008E32B8"/>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E3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Gar17</b:Tag>
    <b:SourceType>Book</b:SourceType>
    <b:Guid>{F987EFAD-21D6-4D11-AFB8-893F1BE7B3D1}</b:Guid>
    <b:Title>Archetypes and Motifs in Folklore and Literature: A Handbook: A Handbook. </b:Title>
    <b:Year>2017</b:Year>
    <b:Publisher>Routledge</b:Publisher>
    <b:Author>
      <b:Author>
        <b:NameList>
          <b:Person>
            <b:Last>Gary</b:Last>
            <b:First>Jane</b:First>
          </b:Person>
        </b:NameList>
      </b:Author>
    </b:Author>
    <b:RefOrder>4</b:RefOrder>
  </b:Source>
  <b:Source>
    <b:Tag>Hos15</b:Tag>
    <b:SourceType>JournalArticle</b:SourceType>
    <b:Guid>{E68084C9-8018-4E23-9E35-01593A2BCD9E}</b:Guid>
    <b:Title>Symbolic Realism in Ibsen’s A Doll’s House:</b:Title>
    <b:Year>2015</b:Year>
    <b:JournalName>An Overview. ANGLISTICUM. Journal of the Association-Institute for English Language and American Studies</b:JournalName>
    <b:Pages>8-17</b:Pages>
    <b:Author>
      <b:Author>
        <b:NameList>
          <b:Person>
            <b:Last>Hossain</b:Last>
            <b:First>Amir</b:First>
          </b:Person>
          <b:Person>
            <b:Last>Iseni</b:Last>
            <b:First>Arburim</b:First>
          </b:Person>
        </b:NameList>
      </b:Author>
    </b:Author>
    <b:Volume>3</b:Volume>
    <b:Issue>8</b:Issue>
    <b:RefOrder>5</b:RefOrder>
  </b:Source>
  <b:Source>
    <b:Tag>Kar15</b:Tag>
    <b:SourceType>JournalArticle</b:SourceType>
    <b:Guid>{03687D7D-9F44-4641-AB5E-972E2A03885B}</b:Guid>
    <b:Title>Man-Woman Relationship in Henrik Ibsen 'A Doll's House'</b:Title>
    <b:JournalName>International Journal of Social Sciences, Arts and Humanities</b:JournalName>
    <b:Year>2015</b:Year>
    <b:Medium>PDF</b:Medium>
    <b:Author>
      <b:Author>
        <b:NameList>
          <b:Person>
            <b:Last>Karim</b:Last>
            <b:Middle>Sanaul</b:Middle>
            <b:First>Shah Mohammad</b:First>
          </b:Person>
          <b:Person>
            <b:Last>Fathema</b:Last>
            <b:First>Fawzia</b:First>
          </b:Person>
          <b:Person>
            <b:Last>Hakim</b:Last>
            <b:First>Abdul</b:First>
          </b:Person>
        </b:NameList>
      </b:Author>
    </b:Author>
    <b:RefOrder>3</b:RefOrder>
  </b:Source>
  <b:Source>
    <b:Tag>Win15</b:Tag>
    <b:SourceType>JournalArticle</b:SourceType>
    <b:Guid>{C736FF38-6101-426C-BA15-E23D76B9AEE2}</b:Guid>
    <b:Title>Critical discourse analysis and translation: a comparative study of discourse and ideology in translated versions of Ibsen's A doll's house.</b:Title>
    <b:JournalName>Nordlit</b:JournalName>
    <b:Year>2015</b:Year>
    <b:Pages>505-517</b:Pages>
    <b:Author>
      <b:Author>
        <b:NameList>
          <b:Person>
            <b:Last>Wing-bo</b:Last>
            <b:Middle>Tso</b:Middle>
            <b:First>Anna</b:First>
          </b:Person>
          <b:Person>
            <b:Last>Lee</b:Last>
            <b:First>Scarlet</b:First>
          </b:Person>
        </b:NameList>
      </b:Author>
    </b:Author>
    <b:Volume>34</b:Volume>
    <b:RefOrder>2</b:RefOrder>
  </b:Source>
  <b:Source>
    <b:Tag>Ank15</b:Tag>
    <b:SourceType>JournalArticle</b:SourceType>
    <b:Guid>{BBB437F6-7541-4601-8D76-CB03D2EF48BB}</b:Guid>
    <b:Title>"Beyond the slammed door."</b:Title>
    <b:JournalName>Nordlit</b:JournalName>
    <b:Year>2015</b:Year>
    <b:Pages>245-251</b:Pages>
    <b:Author>
      <b:Author>
        <b:NameList>
          <b:Person>
            <b:Last>Anku</b:Last>
            <b:Middle>Sekafor</b:Middle>
            <b:First>Solace</b:First>
          </b:Person>
        </b:NameList>
      </b:Author>
    </b:Author>
    <b:Volume>34</b:Volume>
    <b:RefOrder>1</b:RefOrder>
  </b:Source>
</b:Sources>
</file>

<file path=customXml/itemProps1.xml><?xml version="1.0" encoding="utf-8"?>
<ds:datastoreItem xmlns:ds="http://schemas.openxmlformats.org/officeDocument/2006/customXml" ds:itemID="{081B30DD-FA5D-4632-8CB3-479CCFD68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1247</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2019-04-16T07:02:00Z</dcterms:created>
  <dcterms:modified xsi:type="dcterms:W3CDTF">2019-04-16T07:02:00Z</dcterms:modified>
</cp:coreProperties>
</file>